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E5C" w:rsidRDefault="00717E5C" w:rsidP="00717E5C">
      <w:pPr>
        <w:pStyle w:val="Titolo"/>
        <w:pBdr>
          <w:right w:val="single" w:sz="4" w:space="1" w:color="auto"/>
        </w:pBdr>
      </w:pPr>
      <w:bookmarkStart w:id="0" w:name="_GoBack"/>
      <w:bookmarkEnd w:id="0"/>
      <w:r>
        <w:t>Scheda 1: Servizio di pulizia locali</w:t>
      </w:r>
    </w:p>
    <w:p w:rsidR="00717E5C" w:rsidRDefault="00717E5C" w:rsidP="00717E5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17E5C" w:rsidTr="00717E5C">
        <w:tc>
          <w:tcPr>
            <w:tcW w:w="14427"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rPr>
                <w:sz w:val="2"/>
                <w:szCs w:val="2"/>
              </w:rPr>
            </w:pPr>
            <w:r>
              <w:rPr>
                <w:b/>
              </w:rPr>
              <w:t>P</w:t>
            </w:r>
            <w:r>
              <w:t xml:space="preserve"> = probabilità (1,2,3,4,); </w:t>
            </w:r>
            <w:r>
              <w:rPr>
                <w:b/>
              </w:rPr>
              <w:t>D</w:t>
            </w:r>
            <w:r>
              <w:t xml:space="preserve"> = danno (1,2,3,4); </w:t>
            </w:r>
            <w:r>
              <w:rPr>
                <w:b/>
              </w:rPr>
              <w:t>R</w:t>
            </w:r>
            <w:r>
              <w:t xml:space="preserve"> = rischio (P x D da 1 a 16); </w:t>
            </w:r>
            <w:r>
              <w:rPr>
                <w:b/>
              </w:rPr>
              <w:t>E</w:t>
            </w:r>
            <w:r>
              <w:t xml:space="preserve"> = periodicità intervento (F= fissa, S= saltuaria, C = a chiamata, P = a scadenza periodica)</w:t>
            </w:r>
          </w:p>
        </w:tc>
      </w:tr>
    </w:tbl>
    <w:p w:rsidR="00717E5C" w:rsidRDefault="00717E5C" w:rsidP="00717E5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131"/>
      </w:tblGrid>
      <w:tr w:rsidR="00717E5C" w:rsidTr="00717E5C">
        <w:trPr>
          <w:trHeight w:val="591"/>
        </w:trPr>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717E5C" w:rsidRDefault="00717E5C">
            <w:pPr>
              <w:pStyle w:val="Tabella"/>
              <w:rPr>
                <w:sz w:val="18"/>
              </w:rPr>
            </w:pPr>
            <w:r>
              <w:rPr>
                <w:sz w:val="18"/>
              </w:rPr>
              <w:t>Interferenza area</w:t>
            </w:r>
          </w:p>
        </w:tc>
        <w:tc>
          <w:tcPr>
            <w:tcW w:w="11056" w:type="dxa"/>
            <w:tcBorders>
              <w:top w:val="single" w:sz="4" w:space="0" w:color="auto"/>
              <w:left w:val="single" w:sz="4" w:space="0" w:color="auto"/>
              <w:bottom w:val="single" w:sz="4" w:space="0" w:color="auto"/>
              <w:right w:val="single" w:sz="4" w:space="0" w:color="auto"/>
            </w:tcBorders>
            <w:shd w:val="clear" w:color="auto" w:fill="FFFFFF"/>
            <w:hideMark/>
          </w:tcPr>
          <w:p w:rsidR="00717E5C" w:rsidRDefault="00717E5C">
            <w:pPr>
              <w:pStyle w:val="Tabella"/>
              <w:rPr>
                <w:sz w:val="18"/>
              </w:rPr>
            </w:pPr>
            <w:r>
              <w:rPr>
                <w:sz w:val="18"/>
              </w:rPr>
              <w:t>Tutti i locali frequentati dal pubblico ed adibiti ad uso ufficio, sale, le aree comuni, le aree deposito libri e documenti e i servizi igienici</w:t>
            </w:r>
          </w:p>
        </w:tc>
      </w:tr>
      <w:tr w:rsidR="00717E5C" w:rsidTr="00717E5C">
        <w:trPr>
          <w:trHeight w:val="591"/>
        </w:trPr>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717E5C" w:rsidRDefault="00717E5C">
            <w:pPr>
              <w:pStyle w:val="Tabella"/>
              <w:rPr>
                <w:sz w:val="18"/>
              </w:rPr>
            </w:pPr>
            <w:r>
              <w:rPr>
                <w:sz w:val="18"/>
              </w:rPr>
              <w:t>Interferenza attività committente</w:t>
            </w:r>
          </w:p>
        </w:tc>
        <w:tc>
          <w:tcPr>
            <w:tcW w:w="11056" w:type="dxa"/>
            <w:tcBorders>
              <w:top w:val="single" w:sz="4" w:space="0" w:color="auto"/>
              <w:left w:val="single" w:sz="4" w:space="0" w:color="auto"/>
              <w:bottom w:val="single" w:sz="4" w:space="0" w:color="auto"/>
              <w:right w:val="single" w:sz="4" w:space="0" w:color="auto"/>
            </w:tcBorders>
            <w:shd w:val="clear" w:color="auto" w:fill="FFFFFF"/>
            <w:hideMark/>
          </w:tcPr>
          <w:p w:rsidR="00717E5C" w:rsidRDefault="00717E5C">
            <w:pPr>
              <w:pStyle w:val="Tabella"/>
              <w:rPr>
                <w:sz w:val="18"/>
              </w:rPr>
            </w:pPr>
            <w:r>
              <w:rPr>
                <w:sz w:val="18"/>
              </w:rPr>
              <w:t>Tutte le attività svolte nella BIBLIOTECA</w:t>
            </w:r>
          </w:p>
        </w:tc>
      </w:tr>
      <w:tr w:rsidR="00717E5C" w:rsidTr="00717E5C">
        <w:trPr>
          <w:trHeight w:val="591"/>
        </w:trPr>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717E5C" w:rsidRDefault="00717E5C">
            <w:pPr>
              <w:pStyle w:val="Tabella"/>
              <w:rPr>
                <w:sz w:val="18"/>
              </w:rPr>
            </w:pPr>
            <w:r>
              <w:rPr>
                <w:sz w:val="18"/>
              </w:rPr>
              <w:t>Interferenza personale committente</w:t>
            </w:r>
          </w:p>
        </w:tc>
        <w:tc>
          <w:tcPr>
            <w:tcW w:w="11056" w:type="dxa"/>
            <w:tcBorders>
              <w:top w:val="single" w:sz="4" w:space="0" w:color="auto"/>
              <w:left w:val="single" w:sz="4" w:space="0" w:color="auto"/>
              <w:bottom w:val="single" w:sz="4" w:space="0" w:color="auto"/>
              <w:right w:val="single" w:sz="4" w:space="0" w:color="auto"/>
            </w:tcBorders>
            <w:shd w:val="clear" w:color="auto" w:fill="FFFFFF"/>
            <w:hideMark/>
          </w:tcPr>
          <w:p w:rsidR="00717E5C" w:rsidRDefault="00717E5C">
            <w:pPr>
              <w:pStyle w:val="Tabella"/>
              <w:rPr>
                <w:sz w:val="18"/>
              </w:rPr>
            </w:pPr>
            <w:r>
              <w:rPr>
                <w:sz w:val="18"/>
              </w:rPr>
              <w:t>Personale operante presso la struttura (personale committente, altre ditte appaltatrici)</w:t>
            </w:r>
          </w:p>
          <w:p w:rsidR="00717E5C" w:rsidRDefault="00717E5C">
            <w:pPr>
              <w:pStyle w:val="Tabella"/>
              <w:rPr>
                <w:sz w:val="18"/>
              </w:rPr>
            </w:pPr>
            <w:r>
              <w:rPr>
                <w:sz w:val="18"/>
              </w:rPr>
              <w:t>Utenti (pubblico esterno)</w:t>
            </w:r>
          </w:p>
        </w:tc>
      </w:tr>
    </w:tbl>
    <w:p w:rsidR="00717E5C" w:rsidRDefault="00717E5C" w:rsidP="00717E5C">
      <w:pPr>
        <w:jc w:val="center"/>
        <w:rPr>
          <w:rFonts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980"/>
        <w:gridCol w:w="438"/>
        <w:gridCol w:w="443"/>
        <w:gridCol w:w="443"/>
        <w:gridCol w:w="438"/>
        <w:gridCol w:w="3822"/>
      </w:tblGrid>
      <w:tr w:rsidR="00717E5C" w:rsidTr="00717E5C">
        <w:trPr>
          <w:tblHeader/>
        </w:trPr>
        <w:tc>
          <w:tcPr>
            <w:tcW w:w="2802" w:type="dxa"/>
            <w:tcBorders>
              <w:top w:val="single" w:sz="4" w:space="0" w:color="auto"/>
              <w:left w:val="single" w:sz="4" w:space="0" w:color="auto"/>
              <w:bottom w:val="single" w:sz="4" w:space="0" w:color="auto"/>
              <w:right w:val="single" w:sz="4" w:space="0" w:color="auto"/>
            </w:tcBorders>
            <w:shd w:val="clear" w:color="auto" w:fill="D9D9D9"/>
            <w:hideMark/>
          </w:tcPr>
          <w:p w:rsidR="00717E5C" w:rsidRDefault="00717E5C">
            <w:pPr>
              <w:pStyle w:val="Tabella"/>
              <w:jc w:val="center"/>
              <w:rPr>
                <w:rFonts w:cs="Times New Roman"/>
                <w:b/>
              </w:rPr>
            </w:pPr>
            <w:r>
              <w:rPr>
                <w:b/>
              </w:rPr>
              <w:t>Attività svolta dall’appaltatore</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717E5C" w:rsidRDefault="00717E5C">
            <w:pPr>
              <w:pStyle w:val="Tabella"/>
              <w:jc w:val="center"/>
              <w:rPr>
                <w:b/>
              </w:rPr>
            </w:pPr>
            <w:r>
              <w:rPr>
                <w:b/>
              </w:rPr>
              <w:t>Rischi derivanti dalle interferenze delle attività</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717E5C" w:rsidRDefault="00717E5C">
            <w:pPr>
              <w:pStyle w:val="Tabella"/>
              <w:jc w:val="center"/>
              <w:rPr>
                <w:b/>
              </w:rPr>
            </w:pPr>
            <w:r>
              <w:rPr>
                <w:b/>
              </w:rPr>
              <w:t>P</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717E5C" w:rsidRDefault="00717E5C">
            <w:pPr>
              <w:pStyle w:val="Tabella"/>
              <w:jc w:val="center"/>
              <w:rPr>
                <w:b/>
              </w:rPr>
            </w:pPr>
            <w:r>
              <w:rPr>
                <w:b/>
              </w:rPr>
              <w:t>D</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717E5C" w:rsidRDefault="00717E5C">
            <w:pPr>
              <w:pStyle w:val="Tabella"/>
              <w:jc w:val="center"/>
              <w:rPr>
                <w:b/>
              </w:rPr>
            </w:pPr>
            <w:r>
              <w:rPr>
                <w:b/>
              </w:rPr>
              <w:t>R</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717E5C" w:rsidRDefault="00717E5C">
            <w:pPr>
              <w:pStyle w:val="Tabella"/>
              <w:jc w:val="center"/>
              <w:rPr>
                <w:b/>
              </w:rPr>
            </w:pPr>
            <w:r>
              <w:rPr>
                <w:b/>
              </w:rPr>
              <w:t>E</w:t>
            </w:r>
          </w:p>
        </w:tc>
        <w:tc>
          <w:tcPr>
            <w:tcW w:w="6522" w:type="dxa"/>
            <w:tcBorders>
              <w:top w:val="single" w:sz="4" w:space="0" w:color="auto"/>
              <w:left w:val="single" w:sz="4" w:space="0" w:color="auto"/>
              <w:bottom w:val="single" w:sz="4" w:space="0" w:color="auto"/>
              <w:right w:val="single" w:sz="4" w:space="0" w:color="auto"/>
            </w:tcBorders>
            <w:shd w:val="clear" w:color="auto" w:fill="D9D9D9"/>
            <w:hideMark/>
          </w:tcPr>
          <w:p w:rsidR="00717E5C" w:rsidRDefault="00717E5C">
            <w:pPr>
              <w:pStyle w:val="Tabella"/>
              <w:spacing w:before="0" w:after="0"/>
              <w:jc w:val="center"/>
              <w:rPr>
                <w:b/>
              </w:rPr>
            </w:pPr>
            <w:r>
              <w:rPr>
                <w:b/>
              </w:rPr>
              <w:t>Misure di prevenzione e protezione</w:t>
            </w:r>
          </w:p>
        </w:tc>
      </w:tr>
      <w:tr w:rsidR="00717E5C" w:rsidTr="00717E5C">
        <w:tc>
          <w:tcPr>
            <w:tcW w:w="280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t>Utilizzo di prodotti chimici infiammabili</w:t>
            </w:r>
          </w:p>
        </w:tc>
        <w:tc>
          <w:tcPr>
            <w:tcW w:w="2835"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t>Incendio, esplosione, allagamento, incidente, infortunio</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5C" w:rsidRDefault="00717E5C">
            <w:pPr>
              <w:pStyle w:val="Tabella"/>
              <w:jc w:val="center"/>
              <w:rPr>
                <w:b/>
              </w:rPr>
            </w:pPr>
            <w:r>
              <w:rPr>
                <w:b/>
              </w:rPr>
              <w:t>F</w:t>
            </w:r>
          </w:p>
        </w:tc>
        <w:tc>
          <w:tcPr>
            <w:tcW w:w="652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spacing w:before="0" w:after="0"/>
            </w:pPr>
            <w:r>
              <w:t>Fornire copia del piano di evacuazione e procedure da adottare</w:t>
            </w:r>
          </w:p>
          <w:p w:rsidR="00717E5C" w:rsidRDefault="00717E5C">
            <w:pPr>
              <w:pStyle w:val="Tabella"/>
              <w:spacing w:before="0" w:after="0"/>
            </w:pPr>
            <w:r>
              <w:t>Fornire i layout di evacuazione e della dislocazione delle attrezzature antincendio e dei presidi di primo soccorso</w:t>
            </w:r>
          </w:p>
          <w:p w:rsidR="00717E5C" w:rsidRDefault="00717E5C">
            <w:pPr>
              <w:pStyle w:val="Tabella"/>
              <w:spacing w:before="0" w:after="0"/>
            </w:pPr>
            <w:r>
              <w:t>In caso di emergenza le squadre di emergenza dell’ente committente hanno il compito di guidare e assistere tutte le ditte esterne.</w:t>
            </w:r>
          </w:p>
          <w:p w:rsidR="00717E5C" w:rsidRDefault="00717E5C">
            <w:pPr>
              <w:pStyle w:val="Tabella"/>
              <w:spacing w:before="0" w:after="0"/>
            </w:pPr>
            <w:r>
              <w:t>Divieto di apposizione di materiale, attrezzature di lavoro lungo le zone di passaggio come: percorsi di esodo, uscite di emergenza</w:t>
            </w:r>
          </w:p>
          <w:p w:rsidR="00717E5C" w:rsidRDefault="00717E5C">
            <w:pPr>
              <w:pStyle w:val="Tabella"/>
              <w:spacing w:before="0" w:after="0"/>
            </w:pPr>
            <w:r>
              <w:t>Informare preventivamente le ditte appaltatrici sui divieti di fumo, di uso di fiamme libere, etc.</w:t>
            </w:r>
          </w:p>
        </w:tc>
      </w:tr>
      <w:tr w:rsidR="00717E5C" w:rsidTr="00717E5C">
        <w:tc>
          <w:tcPr>
            <w:tcW w:w="280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t>Lavaggio delle pavimentazioni</w:t>
            </w:r>
          </w:p>
          <w:p w:rsidR="00717E5C" w:rsidRDefault="00717E5C">
            <w:pPr>
              <w:pStyle w:val="Tabella"/>
            </w:pPr>
            <w:r>
              <w:t>Pulizia scale esterne e interne</w:t>
            </w:r>
          </w:p>
          <w:p w:rsidR="00717E5C" w:rsidRDefault="00717E5C">
            <w:pPr>
              <w:pStyle w:val="Tabella"/>
            </w:pPr>
            <w:r>
              <w:t>Deposito attrezzature</w:t>
            </w:r>
          </w:p>
        </w:tc>
        <w:tc>
          <w:tcPr>
            <w:tcW w:w="2835"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t>scivolamento, caduta di livello, urti, contusioni</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5C" w:rsidRDefault="00717E5C">
            <w:pPr>
              <w:pStyle w:val="Tabella"/>
              <w:jc w:val="center"/>
              <w:rPr>
                <w:b/>
              </w:rPr>
            </w:pPr>
            <w:r>
              <w:rPr>
                <w:b/>
              </w:rPr>
              <w:t>F</w:t>
            </w:r>
          </w:p>
        </w:tc>
        <w:tc>
          <w:tcPr>
            <w:tcW w:w="652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spacing w:before="0" w:after="0"/>
            </w:pPr>
            <w:r>
              <w:t>Le operazioni di pulizia dei locali devono essere svolte (di preferenza) senza la presenza del personale del committente e/o del pubblico. Qualora non fosse possibile, fare interrompere il lavoro del personale del committente nell’atto dell’intervento di pulizia e farlo riprendere quando questo intervento sarà terminato.</w:t>
            </w:r>
          </w:p>
          <w:p w:rsidR="00717E5C" w:rsidRDefault="00717E5C">
            <w:pPr>
              <w:pStyle w:val="Tabella"/>
              <w:spacing w:before="0" w:after="0"/>
            </w:pPr>
            <w:r>
              <w:t>Vige il divieto di apposizione di materiale, attrezzature di lavoro lungo le zone di passaggio</w:t>
            </w:r>
          </w:p>
          <w:p w:rsidR="00717E5C" w:rsidRDefault="00717E5C">
            <w:pPr>
              <w:pStyle w:val="Tabella"/>
              <w:spacing w:before="0" w:after="0"/>
            </w:pPr>
            <w:r>
              <w:t>Segnalare le aree dove si eseguono le pulizie.</w:t>
            </w:r>
          </w:p>
        </w:tc>
      </w:tr>
      <w:tr w:rsidR="00717E5C" w:rsidTr="00717E5C">
        <w:tc>
          <w:tcPr>
            <w:tcW w:w="280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t>Caduta dall’alto di materiale durante la pulizia degli archivi</w:t>
            </w:r>
          </w:p>
          <w:p w:rsidR="00717E5C" w:rsidRDefault="00717E5C">
            <w:pPr>
              <w:pStyle w:val="Tabella"/>
            </w:pPr>
            <w:r>
              <w:t>Pulizia di armadi e mobilio di grandi dimensioni che richiede l’utilizzo di sgabello o scala</w:t>
            </w:r>
          </w:p>
          <w:p w:rsidR="00717E5C" w:rsidRDefault="00717E5C">
            <w:pPr>
              <w:pStyle w:val="Tabella"/>
            </w:pPr>
            <w:r>
              <w:t>Pulizia scale esterne e interne</w:t>
            </w:r>
          </w:p>
          <w:p w:rsidR="00717E5C" w:rsidRDefault="00717E5C">
            <w:pPr>
              <w:pStyle w:val="Tabella"/>
            </w:pPr>
            <w:r>
              <w:t>Lavaggio vetri esterni</w:t>
            </w:r>
          </w:p>
        </w:tc>
        <w:tc>
          <w:tcPr>
            <w:tcW w:w="2835"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t>di caduta dall’alto, di caduta materiale dall’alto</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E5C" w:rsidRDefault="00717E5C">
            <w:pPr>
              <w:pStyle w:val="Tabella"/>
              <w:jc w:val="center"/>
              <w:rPr>
                <w:b/>
              </w:rPr>
            </w:pPr>
            <w:r>
              <w:rPr>
                <w:b/>
              </w:rPr>
              <w:t>S</w:t>
            </w:r>
          </w:p>
        </w:tc>
        <w:tc>
          <w:tcPr>
            <w:tcW w:w="652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spacing w:before="0" w:after="0"/>
            </w:pPr>
            <w:r>
              <w:t>Sono vietate le operazioni di pulizia da effettuare ad un’altezza superiore ai 2 m. In caso di necessità, si dovrà avvisare anticipatamente l’ente committente, verranno adoperati ponteggi, piattaforme mobili e/o trabattelli omologati e l’area al di sotto delle lavorazioni sarà interdetta.</w:t>
            </w:r>
          </w:p>
          <w:p w:rsidR="00717E5C" w:rsidRDefault="00717E5C">
            <w:pPr>
              <w:pStyle w:val="Tabella"/>
              <w:spacing w:before="0" w:after="0"/>
            </w:pPr>
            <w:r>
              <w:t>In caso di impossibilità di eliminazione delle interferenze attraverso la delimitazione e l’interdizione dell’area, modifica dell’area di lavoro del personale dell’ente committente e trasferimento del personale</w:t>
            </w:r>
          </w:p>
          <w:p w:rsidR="00717E5C" w:rsidRDefault="00717E5C">
            <w:pPr>
              <w:pStyle w:val="Tabella"/>
              <w:spacing w:before="0" w:after="0"/>
            </w:pPr>
            <w:r>
              <w:t>Si deve provvedere, dove necessario, a proteggere i percorsi da possibili cadute di materiale mediante barriere o delimitazione dei passaggi pedonali.</w:t>
            </w:r>
          </w:p>
        </w:tc>
      </w:tr>
      <w:tr w:rsidR="00717E5C" w:rsidTr="00717E5C">
        <w:tc>
          <w:tcPr>
            <w:tcW w:w="280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lastRenderedPageBreak/>
              <w:t>Pulizia degli arredi da ufficio in prossimità di prese di corrente</w:t>
            </w:r>
          </w:p>
          <w:p w:rsidR="00717E5C" w:rsidRDefault="00717E5C">
            <w:pPr>
              <w:pStyle w:val="Tabella"/>
            </w:pPr>
            <w:r>
              <w:t>Utilizzo di attrezzature elettriche per la pulizia (es. aspirapolvere)</w:t>
            </w:r>
          </w:p>
        </w:tc>
        <w:tc>
          <w:tcPr>
            <w:tcW w:w="2835"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t>Elettrico, di elettrocuzione trasmessa a terzi</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F</w:t>
            </w:r>
          </w:p>
        </w:tc>
        <w:tc>
          <w:tcPr>
            <w:tcW w:w="652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spacing w:before="0" w:after="0"/>
            </w:pPr>
            <w:r>
              <w:t>Le attività che prevedono l’utilizzo di attrezzature elettriche utilizzate dall’appaltatore devono essere precedute, da parte di quest’ultimo, da una verifica sull’idoneità dei cavi, delle spine, dei quadri, etc.</w:t>
            </w:r>
          </w:p>
          <w:p w:rsidR="00717E5C" w:rsidRDefault="00717E5C">
            <w:pPr>
              <w:pStyle w:val="Tabella"/>
              <w:spacing w:before="0" w:after="0"/>
            </w:pPr>
            <w:r>
              <w:t>E’ necessario concordare preventivamente all’avvio delle operazioni con l’ente committente il punto di allaccio delle apparecchiature elettriche.</w:t>
            </w:r>
          </w:p>
          <w:p w:rsidR="00717E5C" w:rsidRDefault="00717E5C">
            <w:pPr>
              <w:pStyle w:val="Tabella"/>
              <w:spacing w:before="0" w:after="0"/>
            </w:pPr>
            <w:r>
              <w:t>Impedire il passaggio al personale dipendente e al pubblico sui cavi in tensione che alimentano le attrezzature dell’appaltatore.</w:t>
            </w:r>
          </w:p>
          <w:p w:rsidR="00717E5C" w:rsidRDefault="00717E5C">
            <w:pPr>
              <w:pStyle w:val="Tabella"/>
              <w:spacing w:before="0" w:after="0"/>
            </w:pPr>
            <w:r>
              <w:t>Impedire di posizionare i cavi elettrici in aree dove vi è presenza di acqua.</w:t>
            </w:r>
          </w:p>
        </w:tc>
      </w:tr>
      <w:tr w:rsidR="00717E5C" w:rsidTr="00717E5C">
        <w:tc>
          <w:tcPr>
            <w:tcW w:w="280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t>Svuotamenti cestini carta straccia</w:t>
            </w:r>
          </w:p>
          <w:p w:rsidR="00717E5C" w:rsidRDefault="00717E5C">
            <w:pPr>
              <w:pStyle w:val="Tabella"/>
            </w:pPr>
            <w:r>
              <w:t>Svuotamento e pulizia posaceneri</w:t>
            </w:r>
          </w:p>
          <w:p w:rsidR="00717E5C" w:rsidRDefault="00717E5C">
            <w:pPr>
              <w:pStyle w:val="Tabella"/>
            </w:pPr>
            <w:r>
              <w:t>Scopatura delle pavimentazioni</w:t>
            </w:r>
          </w:p>
          <w:p w:rsidR="00717E5C" w:rsidRDefault="00717E5C">
            <w:pPr>
              <w:pStyle w:val="Tabella"/>
            </w:pPr>
            <w:r>
              <w:t>Spazzatura ed eliminazione dei rifiuti</w:t>
            </w:r>
          </w:p>
        </w:tc>
        <w:tc>
          <w:tcPr>
            <w:tcW w:w="2835"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t>Polveri, gas e fumi</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F</w:t>
            </w:r>
          </w:p>
        </w:tc>
        <w:tc>
          <w:tcPr>
            <w:tcW w:w="652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spacing w:before="0" w:after="0"/>
            </w:pPr>
            <w:r>
              <w:t>Le attività di potenziale rischio per la presenza di polvere, gas e fumi dovranno essere eseguite in completa assenza di lavoratori dipendenti del committente e del pubblico. Tali aree dovranno essere adeguatamente segnalate ed interdetto l’accesso.</w:t>
            </w:r>
          </w:p>
          <w:p w:rsidR="00717E5C" w:rsidRDefault="00717E5C">
            <w:pPr>
              <w:pStyle w:val="Tabella"/>
              <w:spacing w:before="0" w:after="0"/>
            </w:pPr>
            <w:r>
              <w:t>Limitare al minimo lo sviluppo di polveri e odori e garantire un’adeguata aerazione delle aree interessate. Qualora l’areazione non fosse ritenuta sufficiente, dotare il personale di maschera facciale filtranti per polveri e fumi nocivi ed eseguire le lavorazioni in orario di chiusura dell’ente.</w:t>
            </w:r>
          </w:p>
        </w:tc>
      </w:tr>
      <w:tr w:rsidR="00717E5C" w:rsidTr="00717E5C">
        <w:trPr>
          <w:cantSplit/>
        </w:trPr>
        <w:tc>
          <w:tcPr>
            <w:tcW w:w="280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t>Lavaggio e detersione delle superfici</w:t>
            </w:r>
          </w:p>
          <w:p w:rsidR="00717E5C" w:rsidRDefault="00717E5C">
            <w:pPr>
              <w:pStyle w:val="Tabella"/>
            </w:pPr>
            <w:r>
              <w:t>Pulizia e disinfezione dei locali adibiti a servizi igienici</w:t>
            </w:r>
          </w:p>
        </w:tc>
        <w:tc>
          <w:tcPr>
            <w:tcW w:w="2835"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t>Esalazione, contatto con agenti chimici</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F</w:t>
            </w:r>
          </w:p>
        </w:tc>
        <w:tc>
          <w:tcPr>
            <w:tcW w:w="652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spacing w:before="0" w:after="0"/>
            </w:pPr>
            <w:r>
              <w:t>Le attività di potenziale rischio di contatto e di esalazione dei prodotti chimici dovranno essere eseguiti in completa assenza di lavoratori dipendenti del committente e/o del pubblico. Tali aree dovranno essere adeguatamente segnalate ed interdette all’accesso.</w:t>
            </w:r>
          </w:p>
          <w:p w:rsidR="00717E5C" w:rsidRDefault="00717E5C">
            <w:pPr>
              <w:pStyle w:val="Tabella"/>
              <w:spacing w:before="0" w:after="0"/>
            </w:pPr>
            <w:r>
              <w:t>Limitare la minimo lo sviluppo di esalazioni e garantire un’adeguata aerazione delle aree interessate. Qualora l’aerazione non fosse ritenuta sufficiente, dotare il personale di maschera facciale filtrante per polveri e fumi nocivi ed eseguire le lavorazioni in orario di chiusura dell’ente.</w:t>
            </w:r>
          </w:p>
          <w:p w:rsidR="00717E5C" w:rsidRDefault="00717E5C">
            <w:pPr>
              <w:pStyle w:val="Tabella"/>
              <w:spacing w:before="0" w:after="0"/>
            </w:pPr>
            <w:r>
              <w:t>Tutti i prodotti chimici devono essere accompagnati dalla scheda di sicurezza.</w:t>
            </w:r>
          </w:p>
        </w:tc>
      </w:tr>
      <w:tr w:rsidR="00717E5C" w:rsidTr="00717E5C">
        <w:tc>
          <w:tcPr>
            <w:tcW w:w="280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t>Utilizzo di attrezzature elettriche che emettono un rumore continuo per pulire le superfici (es. aspirapolvere)</w:t>
            </w:r>
          </w:p>
        </w:tc>
        <w:tc>
          <w:tcPr>
            <w:tcW w:w="2835"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pPr>
            <w:r>
              <w:t>Rumore</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17E5C" w:rsidRDefault="00717E5C">
            <w:pPr>
              <w:pStyle w:val="Tabella"/>
              <w:jc w:val="center"/>
              <w:rPr>
                <w:b/>
              </w:rPr>
            </w:pPr>
            <w:r>
              <w:rPr>
                <w:b/>
              </w:rPr>
              <w:t>F</w:t>
            </w:r>
          </w:p>
        </w:tc>
        <w:tc>
          <w:tcPr>
            <w:tcW w:w="6522" w:type="dxa"/>
            <w:tcBorders>
              <w:top w:val="single" w:sz="4" w:space="0" w:color="auto"/>
              <w:left w:val="single" w:sz="4" w:space="0" w:color="auto"/>
              <w:bottom w:val="single" w:sz="4" w:space="0" w:color="auto"/>
              <w:right w:val="single" w:sz="4" w:space="0" w:color="auto"/>
            </w:tcBorders>
            <w:hideMark/>
          </w:tcPr>
          <w:p w:rsidR="00717E5C" w:rsidRDefault="00717E5C">
            <w:pPr>
              <w:pStyle w:val="Tabella"/>
              <w:spacing w:before="0" w:after="0"/>
            </w:pPr>
            <w:r>
              <w:t>L’appaltatore è tenuto ad adottare le migliori tecnologie possibili in termini di riduzione del rumore non solo per il proprio personale ma anche per arrecare il minimo disturbo al personale del committente ed al pubblico. Quando non sia possibile ridurre il rumore al di sotto del limite degli 80 dB(A) l’appaltatore dovrà concordare con il servizio tecnico lo svolgimento delle operazioni in orari predefiniti.</w:t>
            </w:r>
          </w:p>
          <w:p w:rsidR="00717E5C" w:rsidRDefault="00717E5C">
            <w:pPr>
              <w:pStyle w:val="Tabella"/>
              <w:spacing w:before="0" w:after="0"/>
            </w:pPr>
            <w:r>
              <w:t>L’appaltatore dovrà dotare il personale di idonei dispositivi di protezione individuale (cuffie).</w:t>
            </w:r>
          </w:p>
        </w:tc>
      </w:tr>
    </w:tbl>
    <w:p w:rsidR="00717E5C" w:rsidRDefault="00717E5C" w:rsidP="00717E5C">
      <w:pPr>
        <w:spacing w:before="0" w:after="0" w:line="240" w:lineRule="auto"/>
      </w:pPr>
    </w:p>
    <w:p w:rsidR="00717E5C" w:rsidRDefault="00717E5C" w:rsidP="00717E5C">
      <w:pPr>
        <w:spacing w:before="0" w:after="0" w:line="240" w:lineRule="auto"/>
        <w:rPr>
          <w:b/>
          <w:highlight w:val="yellow"/>
        </w:rPr>
      </w:pPr>
      <w:bookmarkStart w:id="1" w:name="_Toc393900752"/>
      <w:r>
        <w:rPr>
          <w:b/>
          <w:highlight w:val="yellow"/>
        </w:rPr>
        <w:t>PRESA VISIONE E ACCETTAZIONE DEL DOCUMENTO</w:t>
      </w:r>
      <w:bookmarkEnd w:id="1"/>
    </w:p>
    <w:p w:rsidR="00717E5C" w:rsidRDefault="00717E5C" w:rsidP="00717E5C">
      <w:pPr>
        <w:spacing w:before="0" w:after="0" w:line="240" w:lineRule="auto"/>
        <w:rPr>
          <w:highlight w:val="yellow"/>
        </w:rPr>
      </w:pPr>
    </w:p>
    <w:p w:rsidR="00717E5C" w:rsidRDefault="00717E5C" w:rsidP="00717E5C">
      <w:pPr>
        <w:spacing w:before="0" w:after="0" w:line="240" w:lineRule="auto"/>
        <w:rPr>
          <w:highlight w:val="yellow"/>
        </w:rPr>
      </w:pPr>
      <w:r>
        <w:rPr>
          <w:highlight w:val="yellow"/>
        </w:rPr>
        <w:t>Per la ditta ________________________________ il sig. ________________________________</w:t>
      </w:r>
    </w:p>
    <w:p w:rsidR="00717E5C" w:rsidRDefault="00717E5C" w:rsidP="00717E5C">
      <w:pPr>
        <w:spacing w:before="0" w:after="0" w:line="240" w:lineRule="auto"/>
        <w:rPr>
          <w:highlight w:val="yellow"/>
        </w:rPr>
      </w:pPr>
    </w:p>
    <w:p w:rsidR="00717E5C" w:rsidRDefault="00717E5C" w:rsidP="00717E5C">
      <w:pPr>
        <w:spacing w:before="0" w:after="0" w:line="240" w:lineRule="auto"/>
      </w:pPr>
      <w:r>
        <w:rPr>
          <w:highlight w:val="yellow"/>
        </w:rPr>
        <w:t>Firma ____________________________________</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Trieste ________________</w:t>
      </w:r>
    </w:p>
    <w:p w:rsidR="00717E5C" w:rsidRDefault="00717E5C" w:rsidP="00717E5C">
      <w:pPr>
        <w:spacing w:before="0" w:after="0"/>
      </w:pPr>
    </w:p>
    <w:p w:rsidR="00872250" w:rsidRDefault="00872250"/>
    <w:sectPr w:rsidR="008722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5C"/>
    <w:rsid w:val="00311161"/>
    <w:rsid w:val="00717E5C"/>
    <w:rsid w:val="00872250"/>
    <w:rsid w:val="00BD1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6D347-F2C6-41E2-8DFC-DFF66B7C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E5C"/>
    <w:pPr>
      <w:spacing w:before="180" w:after="180" w:line="276" w:lineRule="auto"/>
      <w:jc w:val="both"/>
    </w:pPr>
    <w:rPr>
      <w:rFonts w:ascii="Arial" w:eastAsia="Times New Roman" w:hAnsi="Arial"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17E5C"/>
    <w:pPr>
      <w:pBdr>
        <w:top w:val="single" w:sz="4" w:space="1" w:color="auto"/>
        <w:left w:val="single" w:sz="4" w:space="4" w:color="auto"/>
        <w:bottom w:val="single" w:sz="4" w:space="1" w:color="auto"/>
        <w:right w:val="single" w:sz="4" w:space="4" w:color="auto"/>
      </w:pBdr>
      <w:tabs>
        <w:tab w:val="left" w:pos="360"/>
      </w:tabs>
      <w:spacing w:line="360" w:lineRule="auto"/>
      <w:jc w:val="center"/>
    </w:pPr>
    <w:rPr>
      <w:b/>
      <w:bCs/>
      <w:color w:val="5F5F5F"/>
    </w:rPr>
  </w:style>
  <w:style w:type="character" w:customStyle="1" w:styleId="TitoloCarattere">
    <w:name w:val="Titolo Carattere"/>
    <w:basedOn w:val="Carpredefinitoparagrafo"/>
    <w:link w:val="Titolo"/>
    <w:rsid w:val="00717E5C"/>
    <w:rPr>
      <w:rFonts w:ascii="Arial" w:eastAsia="Times New Roman" w:hAnsi="Arial" w:cs="Times New Roman"/>
      <w:b/>
      <w:bCs/>
      <w:color w:val="5F5F5F"/>
      <w:szCs w:val="24"/>
      <w:lang w:eastAsia="it-IT"/>
    </w:rPr>
  </w:style>
  <w:style w:type="character" w:customStyle="1" w:styleId="TabellaCarattere">
    <w:name w:val="Tabella Carattere"/>
    <w:link w:val="Tabella"/>
    <w:locked/>
    <w:rsid w:val="00717E5C"/>
    <w:rPr>
      <w:rFonts w:ascii="Arial" w:hAnsi="Arial" w:cs="Arial"/>
      <w:sz w:val="16"/>
      <w:szCs w:val="24"/>
    </w:rPr>
  </w:style>
  <w:style w:type="paragraph" w:customStyle="1" w:styleId="Tabella">
    <w:name w:val="Tabella"/>
    <w:basedOn w:val="Normale"/>
    <w:link w:val="TabellaCarattere"/>
    <w:qFormat/>
    <w:rsid w:val="00717E5C"/>
    <w:pPr>
      <w:spacing w:before="120" w:after="120"/>
    </w:pPr>
    <w:rPr>
      <w:rFonts w:eastAsiaTheme="minorHAnsi"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5124</Characters>
  <Application>Microsoft Office Word</Application>
  <DocSecurity>4</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Di Noia</dc:creator>
  <cp:keywords/>
  <dc:description/>
  <cp:lastModifiedBy>Viviana De Luca</cp:lastModifiedBy>
  <cp:revision>2</cp:revision>
  <dcterms:created xsi:type="dcterms:W3CDTF">2021-10-22T11:29:00Z</dcterms:created>
  <dcterms:modified xsi:type="dcterms:W3CDTF">2021-10-22T11:29:00Z</dcterms:modified>
</cp:coreProperties>
</file>